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8474" w14:textId="77777777" w:rsidR="00353764" w:rsidRPr="00353764" w:rsidRDefault="00353764" w:rsidP="00353764">
      <w:pPr>
        <w:pBdr>
          <w:bottom w:val="single" w:sz="6" w:space="8" w:color="C7C2C2"/>
        </w:pBdr>
        <w:shd w:val="clear" w:color="auto" w:fill="FFFFFF"/>
        <w:spacing w:after="180" w:line="300" w:lineRule="atLeast"/>
        <w:outlineLvl w:val="1"/>
        <w:rPr>
          <w:rFonts w:ascii="Arial" w:eastAsia="Times New Roman" w:hAnsi="Arial" w:cs="Arial"/>
          <w:b/>
          <w:bCs/>
          <w:color w:val="616060"/>
          <w:kern w:val="0"/>
          <w:sz w:val="30"/>
          <w:szCs w:val="30"/>
          <w:lang w:eastAsia="en-GB"/>
          <w14:ligatures w14:val="none"/>
        </w:rPr>
      </w:pPr>
      <w:r w:rsidRPr="00353764">
        <w:rPr>
          <w:rFonts w:ascii="Arial" w:eastAsia="Times New Roman" w:hAnsi="Arial" w:cs="Arial"/>
          <w:b/>
          <w:bCs/>
          <w:color w:val="616060"/>
          <w:kern w:val="0"/>
          <w:sz w:val="30"/>
          <w:szCs w:val="30"/>
          <w:lang w:eastAsia="en-GB"/>
          <w14:ligatures w14:val="none"/>
        </w:rPr>
        <w:t>Buyer’s Guide</w:t>
      </w:r>
    </w:p>
    <w:p w14:paraId="6F26E8FF" w14:textId="77777777" w:rsidR="00353764" w:rsidRPr="00353764" w:rsidRDefault="00353764" w:rsidP="003537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b/>
          <w:bCs/>
          <w:color w:val="646464"/>
          <w:kern w:val="0"/>
          <w:sz w:val="24"/>
          <w:szCs w:val="24"/>
          <w:lang w:eastAsia="en-GB"/>
          <w14:ligatures w14:val="none"/>
        </w:rPr>
        <w:t>Our Full Procurement Service:</w:t>
      </w:r>
    </w:p>
    <w:p w14:paraId="42C579BE" w14:textId="77777777" w:rsidR="00353764" w:rsidRPr="00353764" w:rsidRDefault="00353764" w:rsidP="0035376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We only use approved component suppliers.</w:t>
      </w:r>
    </w:p>
    <w:p w14:paraId="2CDC58A6" w14:textId="77777777" w:rsidR="00353764" w:rsidRPr="00353764" w:rsidRDefault="00353764" w:rsidP="0035376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We check part availability, re-negotiate or re-source if necessary.</w:t>
      </w:r>
    </w:p>
    <w:p w14:paraId="1C419DFE" w14:textId="77777777" w:rsidR="00353764" w:rsidRPr="00353764" w:rsidRDefault="00353764" w:rsidP="0035376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We do not use grey market suppliers unless requested to do so by clients.</w:t>
      </w:r>
    </w:p>
    <w:p w14:paraId="1C56C9E8" w14:textId="77777777" w:rsidR="00353764" w:rsidRPr="00353764" w:rsidRDefault="00353764" w:rsidP="0035376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We offer choice of alternative parts to clients where appropriate.</w:t>
      </w:r>
    </w:p>
    <w:p w14:paraId="488C7856" w14:textId="77777777" w:rsidR="00353764" w:rsidRPr="00353764" w:rsidRDefault="00353764" w:rsidP="0035376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We rigorously check that client part numbers and descriptions agree with supplier part numbers and descriptions, and report / resolve discrepancies.</w:t>
      </w:r>
    </w:p>
    <w:p w14:paraId="4FF157C7" w14:textId="77777777" w:rsidR="00353764" w:rsidRPr="00353764" w:rsidRDefault="00353764" w:rsidP="0035376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Our good inwards check every part received for correct markings, correct labelling, and correct quantity, against our BOM.</w:t>
      </w:r>
    </w:p>
    <w:p w14:paraId="78C153A4" w14:textId="77777777" w:rsidR="00353764" w:rsidRPr="00353764" w:rsidRDefault="00353764" w:rsidP="0035376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We chase shortages.</w:t>
      </w:r>
    </w:p>
    <w:p w14:paraId="2BB2BF6D" w14:textId="7C4A576B" w:rsidR="00353764" w:rsidRPr="00353764" w:rsidRDefault="00353764" w:rsidP="0035376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We maintain full traceability of parts supplied.</w:t>
      </w:r>
      <w:r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(</w:t>
      </w:r>
      <w:proofErr w:type="gramEnd"/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When required)</w:t>
      </w:r>
    </w:p>
    <w:p w14:paraId="03669464" w14:textId="77777777" w:rsidR="00353764" w:rsidRPr="00353764" w:rsidRDefault="00353764" w:rsidP="0035376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We take responsibility for the fitment of correctly sourced parts. Re-work (if required) will be at our cost.</w:t>
      </w:r>
    </w:p>
    <w:p w14:paraId="11576100" w14:textId="77777777" w:rsidR="00353764" w:rsidRPr="00353764" w:rsidRDefault="00353764" w:rsidP="0035376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We maintain components in an anti-static environment.</w:t>
      </w:r>
    </w:p>
    <w:p w14:paraId="6030F7F8" w14:textId="77777777" w:rsidR="00353764" w:rsidRPr="00353764" w:rsidRDefault="00353764" w:rsidP="00353764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Component costs are only charged when we invoice for completed assemblies, thus client’s cash flow is improved.</w:t>
      </w:r>
    </w:p>
    <w:p w14:paraId="51A5BD0F" w14:textId="77777777" w:rsidR="00353764" w:rsidRPr="00353764" w:rsidRDefault="00353764" w:rsidP="003537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 </w:t>
      </w:r>
    </w:p>
    <w:p w14:paraId="0F7AB39C" w14:textId="0D907D54" w:rsidR="00353764" w:rsidRPr="00353764" w:rsidRDefault="00353764" w:rsidP="003537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</w:p>
    <w:tbl>
      <w:tblPr>
        <w:tblW w:w="47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398"/>
      </w:tblGrid>
      <w:tr w:rsidR="00353764" w:rsidRPr="00353764" w14:paraId="11660FDE" w14:textId="77777777"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919B9" w14:textId="77777777" w:rsidR="00353764" w:rsidRPr="00353764" w:rsidRDefault="00353764" w:rsidP="00353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376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  <w:drawing>
                <wp:inline distT="0" distB="0" distL="0" distR="0" wp14:anchorId="5349BF43" wp14:editId="4F3B60F4">
                  <wp:extent cx="771525" cy="771525"/>
                  <wp:effectExtent l="0" t="0" r="9525" b="9525"/>
                  <wp:docPr id="2" name="Picture 3" descr="Bill-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l-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CB4F0" w14:textId="77777777" w:rsidR="00353764" w:rsidRPr="00353764" w:rsidRDefault="00353764" w:rsidP="00353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37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Bill of Materials (BOM)</w:t>
            </w:r>
          </w:p>
        </w:tc>
      </w:tr>
    </w:tbl>
    <w:p w14:paraId="137B5F5D" w14:textId="28238C3B" w:rsidR="00353764" w:rsidRPr="00353764" w:rsidRDefault="00353764" w:rsidP="003537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BOMs should have the normal default information such as reference designator, description, manufacturer and manufacturer part number, quantity</w:t>
      </w:r>
      <w:r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 xml:space="preserve"> per</w:t>
      </w: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. In addition, it is recommended to include Farnell part numbers</w:t>
      </w:r>
      <w:r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.</w:t>
      </w: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 xml:space="preserve"> It is very useful to have the BOM supplied in an Excel Format.</w:t>
      </w:r>
    </w:p>
    <w:p w14:paraId="12529952" w14:textId="61BDC854" w:rsidR="00353764" w:rsidRPr="00353764" w:rsidRDefault="00353764" w:rsidP="003537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</w:p>
    <w:p w14:paraId="3DA49761" w14:textId="13AD595F" w:rsidR="00353764" w:rsidRPr="00353764" w:rsidRDefault="00353764" w:rsidP="0035376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</w:p>
    <w:tbl>
      <w:tblPr>
        <w:tblW w:w="72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5913"/>
      </w:tblGrid>
      <w:tr w:rsidR="00353764" w:rsidRPr="00353764" w14:paraId="1697B19C" w14:textId="77777777">
        <w:tc>
          <w:tcPr>
            <w:tcW w:w="14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04711" w14:textId="77777777" w:rsidR="00353764" w:rsidRPr="00353764" w:rsidRDefault="00353764" w:rsidP="00353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3764">
              <w:rPr>
                <w:rFonts w:ascii="Times New Roman" w:eastAsia="Times New Roman" w:hAnsi="Times New Roman" w:cs="Times New Roman"/>
                <w:noProof/>
                <w:color w:val="646464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drawing>
                <wp:inline distT="0" distB="0" distL="0" distR="0" wp14:anchorId="18308A7C" wp14:editId="193D70BF">
                  <wp:extent cx="771525" cy="771525"/>
                  <wp:effectExtent l="0" t="0" r="9525" b="9525"/>
                  <wp:docPr id="5" name="Picture 1" descr="Pick-icon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k-icon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3476C" w14:textId="77777777" w:rsidR="00353764" w:rsidRPr="00353764" w:rsidRDefault="00353764" w:rsidP="003537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537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Pick &amp; place machine</w:t>
            </w:r>
            <w:r w:rsidRPr="003537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br/>
              <w:t>placement data</w:t>
            </w:r>
          </w:p>
        </w:tc>
      </w:tr>
    </w:tbl>
    <w:p w14:paraId="54856A10" w14:textId="77777777" w:rsidR="00353764" w:rsidRPr="00353764" w:rsidRDefault="00353764" w:rsidP="003537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 xml:space="preserve">It is preferable to send us the pick &amp; place machine component placement data. This will save on programming costs. The data should include the component x/y coordinate data </w:t>
      </w:r>
      <w:proofErr w:type="gramStart"/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in .prn</w:t>
      </w:r>
      <w:proofErr w:type="gramEnd"/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, .csv, or .</w:t>
      </w:r>
      <w:proofErr w:type="spellStart"/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xls</w:t>
      </w:r>
      <w:proofErr w:type="spellEnd"/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 xml:space="preserve"> file formats. Most CAD design software will output a standard pick &amp; place machine component placement file which will be suitable for our needs. There should be columns for:</w:t>
      </w:r>
    </w:p>
    <w:p w14:paraId="1D42D117" w14:textId="77777777" w:rsidR="00353764" w:rsidRPr="00353764" w:rsidRDefault="00353764" w:rsidP="00353764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Part number.</w:t>
      </w:r>
    </w:p>
    <w:p w14:paraId="275C1AB3" w14:textId="77777777" w:rsidR="00353764" w:rsidRPr="00353764" w:rsidRDefault="00353764" w:rsidP="00353764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Reference designator.</w:t>
      </w:r>
    </w:p>
    <w:p w14:paraId="13791979" w14:textId="77777777" w:rsidR="00353764" w:rsidRPr="00353764" w:rsidRDefault="00353764" w:rsidP="00353764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X/Y coordinate of the centre of the part (centroid data).</w:t>
      </w:r>
    </w:p>
    <w:p w14:paraId="27D305A2" w14:textId="77777777" w:rsidR="00353764" w:rsidRPr="00353764" w:rsidRDefault="00353764" w:rsidP="00353764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Rotation (0, 90, 180, 270 degrees), also called “theta”.</w:t>
      </w:r>
    </w:p>
    <w:p w14:paraId="658BE70C" w14:textId="77777777" w:rsidR="00353764" w:rsidRPr="00353764" w:rsidRDefault="00353764" w:rsidP="00353764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</w:pPr>
      <w:r w:rsidRPr="00353764">
        <w:rPr>
          <w:rFonts w:ascii="Calibri" w:eastAsia="Times New Roman" w:hAnsi="Calibri" w:cs="Calibri"/>
          <w:color w:val="646464"/>
          <w:kern w:val="0"/>
          <w:sz w:val="24"/>
          <w:szCs w:val="24"/>
          <w:lang w:eastAsia="en-GB"/>
          <w14:ligatures w14:val="none"/>
        </w:rPr>
        <w:t>Surface designator (top or bottom).</w:t>
      </w:r>
    </w:p>
    <w:p w14:paraId="2D0A1607" w14:textId="130CF392" w:rsidR="00935C88" w:rsidRPr="00056AB6" w:rsidRDefault="00E14B2E">
      <w:pPr>
        <w:rPr>
          <w:rFonts w:ascii="Calibri" w:hAnsi="Calibri" w:cs="Calibri"/>
          <w:sz w:val="24"/>
          <w:szCs w:val="24"/>
        </w:rPr>
      </w:pPr>
      <w:r w:rsidRPr="00056AB6">
        <w:rPr>
          <w:rFonts w:ascii="Calibri" w:hAnsi="Calibri" w:cs="Calibri"/>
          <w:sz w:val="24"/>
          <w:szCs w:val="24"/>
        </w:rPr>
        <w:t xml:space="preserve">            .      Supply PDF</w:t>
      </w:r>
      <w:r w:rsidR="00E868E9" w:rsidRPr="00056AB6">
        <w:rPr>
          <w:rFonts w:ascii="Calibri" w:hAnsi="Calibri" w:cs="Calibri"/>
          <w:sz w:val="24"/>
          <w:szCs w:val="24"/>
        </w:rPr>
        <w:t xml:space="preserve"> of Silk Screen</w:t>
      </w:r>
      <w:r w:rsidRPr="00056AB6">
        <w:rPr>
          <w:rFonts w:ascii="Calibri" w:hAnsi="Calibri" w:cs="Calibri"/>
          <w:sz w:val="24"/>
          <w:szCs w:val="24"/>
        </w:rPr>
        <w:tab/>
      </w:r>
    </w:p>
    <w:sectPr w:rsidR="00935C88" w:rsidRPr="00056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0E3B"/>
    <w:multiLevelType w:val="multilevel"/>
    <w:tmpl w:val="558A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C73D9"/>
    <w:multiLevelType w:val="multilevel"/>
    <w:tmpl w:val="544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610BF"/>
    <w:multiLevelType w:val="multilevel"/>
    <w:tmpl w:val="368E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D2C51"/>
    <w:multiLevelType w:val="multilevel"/>
    <w:tmpl w:val="D9CC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C1034"/>
    <w:multiLevelType w:val="multilevel"/>
    <w:tmpl w:val="831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016405">
    <w:abstractNumId w:val="2"/>
  </w:num>
  <w:num w:numId="2" w16cid:durableId="258605843">
    <w:abstractNumId w:val="1"/>
  </w:num>
  <w:num w:numId="3" w16cid:durableId="1451702255">
    <w:abstractNumId w:val="0"/>
  </w:num>
  <w:num w:numId="4" w16cid:durableId="1308047407">
    <w:abstractNumId w:val="3"/>
  </w:num>
  <w:num w:numId="5" w16cid:durableId="53596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64"/>
    <w:rsid w:val="00056AB6"/>
    <w:rsid w:val="0009667C"/>
    <w:rsid w:val="00353764"/>
    <w:rsid w:val="00935C88"/>
    <w:rsid w:val="00E14B2E"/>
    <w:rsid w:val="00E8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A109"/>
  <w15:chartTrackingRefBased/>
  <w15:docId w15:val="{1985C14E-919E-47D9-8FC4-9E2BC9E6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vemar.com/new/wp-content/uploads/2016/04/Pick-ico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Calladine</dc:creator>
  <cp:keywords/>
  <dc:description/>
  <cp:lastModifiedBy>Mike Calladine</cp:lastModifiedBy>
  <cp:revision>4</cp:revision>
  <dcterms:created xsi:type="dcterms:W3CDTF">2025-09-02T12:47:00Z</dcterms:created>
  <dcterms:modified xsi:type="dcterms:W3CDTF">2025-09-02T12:55:00Z</dcterms:modified>
</cp:coreProperties>
</file>