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0AB1" w14:textId="2E931867" w:rsidR="003E0D7D" w:rsidRDefault="00513FD6">
      <w:pPr>
        <w:pStyle w:val="BodyText"/>
        <w:ind w:left="6414"/>
        <w:rPr>
          <w:sz w:val="20"/>
        </w:rPr>
      </w:pPr>
      <w:r w:rsidRPr="00BF22E9">
        <w:rPr>
          <w:noProof/>
          <w:lang w:val="en-GB" w:eastAsia="en-GB" w:bidi="ar-SA"/>
        </w:rPr>
        <w:drawing>
          <wp:inline distT="0" distB="0" distL="0" distR="0" wp14:anchorId="5C1BF6EA" wp14:editId="37DC647F">
            <wp:extent cx="1704975" cy="901700"/>
            <wp:effectExtent l="19050" t="0" r="9525" b="0"/>
            <wp:docPr id="11" name="Picture 1" descr="Logo for 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word.wmf"/>
                    <pic:cNvPicPr/>
                  </pic:nvPicPr>
                  <pic:blipFill>
                    <a:blip r:embed="rId8"/>
                    <a:stretch>
                      <a:fillRect/>
                    </a:stretch>
                  </pic:blipFill>
                  <pic:spPr>
                    <a:xfrm>
                      <a:off x="0" y="0"/>
                      <a:ext cx="1704975" cy="901700"/>
                    </a:xfrm>
                    <a:prstGeom prst="rect">
                      <a:avLst/>
                    </a:prstGeom>
                  </pic:spPr>
                </pic:pic>
              </a:graphicData>
            </a:graphic>
          </wp:inline>
        </w:drawing>
      </w:r>
    </w:p>
    <w:p w14:paraId="00D7054A" w14:textId="77777777" w:rsidR="003E0D7D" w:rsidRDefault="003E0D7D">
      <w:pPr>
        <w:pStyle w:val="BodyText"/>
        <w:spacing w:before="10"/>
        <w:rPr>
          <w:sz w:val="16"/>
        </w:rPr>
      </w:pPr>
    </w:p>
    <w:p w14:paraId="53F2AB51" w14:textId="082A5A22" w:rsidR="003E0D7D" w:rsidRDefault="00F23AA1">
      <w:pPr>
        <w:pStyle w:val="Heading1"/>
        <w:spacing w:before="90"/>
        <w:ind w:left="2834" w:right="2994" w:firstLine="885"/>
      </w:pPr>
      <w:r>
        <w:t>Directive 2011/65/EC, Amended with Directive (EU) 2015/863</w:t>
      </w:r>
      <w:r w:rsidR="00BD1B39">
        <w:t xml:space="preserve"> </w:t>
      </w:r>
      <w:r w:rsidR="00BD1B39">
        <w:tab/>
      </w:r>
      <w:r w:rsidR="00BD1B39">
        <w:tab/>
      </w:r>
      <w:r w:rsidR="00BD1B39">
        <w:tab/>
        <w:t>(RoHS 3)</w:t>
      </w:r>
    </w:p>
    <w:p w14:paraId="1FA32E8D" w14:textId="77777777" w:rsidR="003E0D7D" w:rsidRDefault="00F23AA1">
      <w:pPr>
        <w:ind w:left="976" w:right="1214"/>
        <w:jc w:val="center"/>
        <w:rPr>
          <w:b/>
          <w:sz w:val="24"/>
        </w:rPr>
      </w:pPr>
      <w:r>
        <w:rPr>
          <w:b/>
          <w:sz w:val="24"/>
        </w:rPr>
        <w:t>Restriction of Hazardous Substances (RoHS II) with 4 phthalate substances Declaration of Compliance</w:t>
      </w:r>
    </w:p>
    <w:p w14:paraId="2054ABCD" w14:textId="77777777" w:rsidR="003E0D7D" w:rsidRDefault="003E0D7D" w:rsidP="00513FD6">
      <w:pPr>
        <w:pStyle w:val="BodyText"/>
        <w:ind w:right="1214"/>
      </w:pPr>
    </w:p>
    <w:p w14:paraId="6B4FA3AC" w14:textId="1922C4A5" w:rsidR="00AE5DA0" w:rsidRPr="00AE5DA0" w:rsidRDefault="00AE5DA0" w:rsidP="00AE5DA0">
      <w:pPr>
        <w:pStyle w:val="BodyText"/>
        <w:ind w:left="974" w:right="1214" w:firstLine="2"/>
        <w:rPr>
          <w:b/>
        </w:rPr>
      </w:pPr>
      <w:r w:rsidRPr="00AE5DA0">
        <w:rPr>
          <w:b/>
        </w:rPr>
        <w:t xml:space="preserve">                        </w:t>
      </w:r>
    </w:p>
    <w:p w14:paraId="6946F345" w14:textId="77777777" w:rsidR="003E0D7D" w:rsidRDefault="003E0D7D">
      <w:pPr>
        <w:pStyle w:val="BodyText"/>
      </w:pPr>
    </w:p>
    <w:p w14:paraId="61EF8C95" w14:textId="77777777" w:rsidR="003E0D7D" w:rsidRDefault="00F23AA1">
      <w:pPr>
        <w:pStyle w:val="BodyText"/>
        <w:spacing w:before="1"/>
        <w:ind w:left="160" w:right="395"/>
        <w:jc w:val="both"/>
      </w:pPr>
      <w:r>
        <w:t>The European Union Directive 2011/65/EC, Restriction of Hazardous Substances (RoHS-II) legislation restricts the use of certain substances in electrical and electronic equipment (EEE). This directive applies to all electrical and electronic products and their components currently placed on the European market except for stated exemption categories. On June 4, 2015, the EU Commission published new Directive (EU) 2015/863 which adds 4 phthalate substances to the list of 6 already in RoHS II. These phthalates will be restricted from use starting July 22, 2019 from most EEE. All pr</w:t>
      </w:r>
      <w:r w:rsidR="00AE5DA0">
        <w:t>oducts produced by Wavemar Electronics Ltd</w:t>
      </w:r>
      <w:r>
        <w:t xml:space="preserve"> conform to the following maximum concentration limits of this directive as shown below.</w:t>
      </w:r>
    </w:p>
    <w:p w14:paraId="3DF12D42" w14:textId="77777777" w:rsidR="003E0D7D" w:rsidRDefault="003E0D7D">
      <w:pPr>
        <w:pStyle w:val="BodyText"/>
        <w:spacing w:before="10" w:after="1"/>
      </w:pPr>
    </w:p>
    <w:tbl>
      <w:tblPr>
        <w:tblW w:w="0" w:type="auto"/>
        <w:tblInd w:w="110" w:type="dxa"/>
        <w:tblLayout w:type="fixed"/>
        <w:tblCellMar>
          <w:left w:w="0" w:type="dxa"/>
          <w:right w:w="0" w:type="dxa"/>
        </w:tblCellMar>
        <w:tblLook w:val="01E0" w:firstRow="1" w:lastRow="1" w:firstColumn="1" w:lastColumn="1" w:noHBand="0" w:noVBand="0"/>
      </w:tblPr>
      <w:tblGrid>
        <w:gridCol w:w="4287"/>
        <w:gridCol w:w="5176"/>
      </w:tblGrid>
      <w:tr w:rsidR="003E0D7D" w14:paraId="447BBCF2" w14:textId="77777777">
        <w:trPr>
          <w:trHeight w:val="270"/>
        </w:trPr>
        <w:tc>
          <w:tcPr>
            <w:tcW w:w="4287" w:type="dxa"/>
          </w:tcPr>
          <w:p w14:paraId="686223DA" w14:textId="77777777" w:rsidR="003E0D7D" w:rsidRDefault="00F23AA1">
            <w:pPr>
              <w:pStyle w:val="TableParagraph"/>
              <w:spacing w:line="251" w:lineRule="exact"/>
              <w:rPr>
                <w:sz w:val="24"/>
              </w:rPr>
            </w:pPr>
            <w:r>
              <w:rPr>
                <w:sz w:val="24"/>
              </w:rPr>
              <w:t>Cadmium</w:t>
            </w:r>
          </w:p>
        </w:tc>
        <w:tc>
          <w:tcPr>
            <w:tcW w:w="5176" w:type="dxa"/>
          </w:tcPr>
          <w:p w14:paraId="18064B19" w14:textId="77777777" w:rsidR="003E0D7D" w:rsidRDefault="00F23AA1">
            <w:pPr>
              <w:pStyle w:val="TableParagraph"/>
              <w:spacing w:line="251" w:lineRule="exact"/>
              <w:ind w:left="83"/>
              <w:rPr>
                <w:sz w:val="24"/>
              </w:rPr>
            </w:pPr>
            <w:r>
              <w:rPr>
                <w:sz w:val="24"/>
              </w:rPr>
              <w:t>0.01%</w:t>
            </w:r>
          </w:p>
        </w:tc>
      </w:tr>
      <w:tr w:rsidR="003E0D7D" w14:paraId="517C0A36" w14:textId="77777777">
        <w:trPr>
          <w:trHeight w:val="275"/>
        </w:trPr>
        <w:tc>
          <w:tcPr>
            <w:tcW w:w="4287" w:type="dxa"/>
          </w:tcPr>
          <w:p w14:paraId="5A0C78F6" w14:textId="77777777" w:rsidR="003E0D7D" w:rsidRDefault="00F23AA1">
            <w:pPr>
              <w:pStyle w:val="TableParagraph"/>
              <w:rPr>
                <w:sz w:val="24"/>
              </w:rPr>
            </w:pPr>
            <w:r>
              <w:rPr>
                <w:sz w:val="24"/>
              </w:rPr>
              <w:t>Hexavalent Chromium</w:t>
            </w:r>
          </w:p>
        </w:tc>
        <w:tc>
          <w:tcPr>
            <w:tcW w:w="5176" w:type="dxa"/>
          </w:tcPr>
          <w:p w14:paraId="2B896889" w14:textId="77777777" w:rsidR="003E0D7D" w:rsidRDefault="00F23AA1">
            <w:pPr>
              <w:pStyle w:val="TableParagraph"/>
              <w:ind w:left="83"/>
              <w:rPr>
                <w:sz w:val="24"/>
              </w:rPr>
            </w:pPr>
            <w:r>
              <w:rPr>
                <w:sz w:val="24"/>
              </w:rPr>
              <w:t>0.1%</w:t>
            </w:r>
          </w:p>
        </w:tc>
      </w:tr>
      <w:tr w:rsidR="003E0D7D" w14:paraId="23C8A6B1" w14:textId="77777777">
        <w:trPr>
          <w:trHeight w:val="276"/>
        </w:trPr>
        <w:tc>
          <w:tcPr>
            <w:tcW w:w="4287" w:type="dxa"/>
          </w:tcPr>
          <w:p w14:paraId="1EA0AD89" w14:textId="77777777" w:rsidR="003E0D7D" w:rsidRDefault="00F23AA1">
            <w:pPr>
              <w:pStyle w:val="TableParagraph"/>
              <w:rPr>
                <w:sz w:val="24"/>
              </w:rPr>
            </w:pPr>
            <w:r>
              <w:rPr>
                <w:sz w:val="24"/>
              </w:rPr>
              <w:t>Lead</w:t>
            </w:r>
          </w:p>
        </w:tc>
        <w:tc>
          <w:tcPr>
            <w:tcW w:w="5176" w:type="dxa"/>
          </w:tcPr>
          <w:p w14:paraId="152E142C" w14:textId="77777777" w:rsidR="003E0D7D" w:rsidRDefault="00F23AA1">
            <w:pPr>
              <w:pStyle w:val="TableParagraph"/>
              <w:ind w:left="83"/>
              <w:rPr>
                <w:sz w:val="24"/>
              </w:rPr>
            </w:pPr>
            <w:r>
              <w:rPr>
                <w:sz w:val="24"/>
              </w:rPr>
              <w:t>0.1%</w:t>
            </w:r>
          </w:p>
        </w:tc>
      </w:tr>
      <w:tr w:rsidR="003E0D7D" w14:paraId="7DD757C2" w14:textId="77777777">
        <w:trPr>
          <w:trHeight w:val="276"/>
        </w:trPr>
        <w:tc>
          <w:tcPr>
            <w:tcW w:w="4287" w:type="dxa"/>
          </w:tcPr>
          <w:p w14:paraId="63AF8B72" w14:textId="77777777" w:rsidR="003E0D7D" w:rsidRDefault="00F23AA1">
            <w:pPr>
              <w:pStyle w:val="TableParagraph"/>
              <w:rPr>
                <w:sz w:val="24"/>
              </w:rPr>
            </w:pPr>
            <w:r>
              <w:rPr>
                <w:sz w:val="24"/>
              </w:rPr>
              <w:t>Mercury</w:t>
            </w:r>
          </w:p>
        </w:tc>
        <w:tc>
          <w:tcPr>
            <w:tcW w:w="5176" w:type="dxa"/>
          </w:tcPr>
          <w:p w14:paraId="608588A0" w14:textId="77777777" w:rsidR="003E0D7D" w:rsidRDefault="00F23AA1">
            <w:pPr>
              <w:pStyle w:val="TableParagraph"/>
              <w:ind w:left="83"/>
              <w:rPr>
                <w:sz w:val="24"/>
              </w:rPr>
            </w:pPr>
            <w:r>
              <w:rPr>
                <w:sz w:val="24"/>
              </w:rPr>
              <w:t>0.1%</w:t>
            </w:r>
          </w:p>
        </w:tc>
      </w:tr>
      <w:tr w:rsidR="003E0D7D" w14:paraId="3A6A7A86" w14:textId="77777777">
        <w:trPr>
          <w:trHeight w:val="275"/>
        </w:trPr>
        <w:tc>
          <w:tcPr>
            <w:tcW w:w="4287" w:type="dxa"/>
          </w:tcPr>
          <w:p w14:paraId="494EB46C" w14:textId="77777777" w:rsidR="003E0D7D" w:rsidRDefault="00F23AA1">
            <w:pPr>
              <w:pStyle w:val="TableParagraph"/>
              <w:rPr>
                <w:sz w:val="24"/>
              </w:rPr>
            </w:pPr>
            <w:r>
              <w:rPr>
                <w:sz w:val="24"/>
              </w:rPr>
              <w:t>Polybrominated Biphenyls (PBBs)</w:t>
            </w:r>
          </w:p>
        </w:tc>
        <w:tc>
          <w:tcPr>
            <w:tcW w:w="5176" w:type="dxa"/>
          </w:tcPr>
          <w:p w14:paraId="6B6C7251" w14:textId="77777777" w:rsidR="003E0D7D" w:rsidRDefault="00F23AA1">
            <w:pPr>
              <w:pStyle w:val="TableParagraph"/>
              <w:ind w:left="83"/>
              <w:rPr>
                <w:sz w:val="24"/>
              </w:rPr>
            </w:pPr>
            <w:r>
              <w:rPr>
                <w:sz w:val="24"/>
              </w:rPr>
              <w:t>0.1%</w:t>
            </w:r>
          </w:p>
        </w:tc>
      </w:tr>
      <w:tr w:rsidR="003E0D7D" w14:paraId="3796E40A" w14:textId="77777777">
        <w:trPr>
          <w:trHeight w:val="276"/>
        </w:trPr>
        <w:tc>
          <w:tcPr>
            <w:tcW w:w="4287" w:type="dxa"/>
          </w:tcPr>
          <w:p w14:paraId="21EB2C24" w14:textId="77777777" w:rsidR="003E0D7D" w:rsidRDefault="00F23AA1">
            <w:pPr>
              <w:pStyle w:val="TableParagraph"/>
              <w:rPr>
                <w:sz w:val="24"/>
              </w:rPr>
            </w:pPr>
            <w:r>
              <w:rPr>
                <w:sz w:val="24"/>
              </w:rPr>
              <w:t>Polybrominated diphenyl ethers (PBDE)</w:t>
            </w:r>
          </w:p>
        </w:tc>
        <w:tc>
          <w:tcPr>
            <w:tcW w:w="5176" w:type="dxa"/>
          </w:tcPr>
          <w:p w14:paraId="5609232A" w14:textId="77777777" w:rsidR="003E0D7D" w:rsidRDefault="00F23AA1">
            <w:pPr>
              <w:pStyle w:val="TableParagraph"/>
              <w:ind w:left="83"/>
              <w:rPr>
                <w:sz w:val="24"/>
              </w:rPr>
            </w:pPr>
            <w:r>
              <w:rPr>
                <w:sz w:val="24"/>
              </w:rPr>
              <w:t>0.1%</w:t>
            </w:r>
          </w:p>
        </w:tc>
      </w:tr>
      <w:tr w:rsidR="003E0D7D" w14:paraId="3A474595" w14:textId="77777777">
        <w:trPr>
          <w:trHeight w:val="276"/>
        </w:trPr>
        <w:tc>
          <w:tcPr>
            <w:tcW w:w="4287" w:type="dxa"/>
          </w:tcPr>
          <w:p w14:paraId="32B72F0C" w14:textId="77777777" w:rsidR="003E0D7D" w:rsidRDefault="00F23AA1">
            <w:pPr>
              <w:pStyle w:val="TableParagraph"/>
              <w:rPr>
                <w:sz w:val="24"/>
              </w:rPr>
            </w:pPr>
            <w:r>
              <w:rPr>
                <w:sz w:val="24"/>
              </w:rPr>
              <w:t>Bis(2-ethylhexyl) phthalate (DEHP)</w:t>
            </w:r>
          </w:p>
        </w:tc>
        <w:tc>
          <w:tcPr>
            <w:tcW w:w="5176" w:type="dxa"/>
          </w:tcPr>
          <w:p w14:paraId="3894A9EA" w14:textId="77777777" w:rsidR="003E0D7D" w:rsidRDefault="00F23AA1">
            <w:pPr>
              <w:pStyle w:val="TableParagraph"/>
              <w:ind w:left="83"/>
              <w:rPr>
                <w:sz w:val="24"/>
              </w:rPr>
            </w:pPr>
            <w:r>
              <w:rPr>
                <w:sz w:val="24"/>
              </w:rPr>
              <w:t>0.1%</w:t>
            </w:r>
          </w:p>
        </w:tc>
      </w:tr>
      <w:tr w:rsidR="003E0D7D" w14:paraId="67F7670F" w14:textId="77777777">
        <w:trPr>
          <w:trHeight w:val="276"/>
        </w:trPr>
        <w:tc>
          <w:tcPr>
            <w:tcW w:w="4287" w:type="dxa"/>
          </w:tcPr>
          <w:p w14:paraId="5B453B38" w14:textId="77777777" w:rsidR="003E0D7D" w:rsidRDefault="00F23AA1">
            <w:pPr>
              <w:pStyle w:val="TableParagraph"/>
              <w:rPr>
                <w:sz w:val="24"/>
              </w:rPr>
            </w:pPr>
            <w:r>
              <w:rPr>
                <w:sz w:val="24"/>
              </w:rPr>
              <w:t>Butyl benzyl phthalate (BBP)</w:t>
            </w:r>
          </w:p>
        </w:tc>
        <w:tc>
          <w:tcPr>
            <w:tcW w:w="5176" w:type="dxa"/>
          </w:tcPr>
          <w:p w14:paraId="09FDC83C" w14:textId="77777777" w:rsidR="003E0D7D" w:rsidRDefault="00F23AA1">
            <w:pPr>
              <w:pStyle w:val="TableParagraph"/>
              <w:ind w:left="83"/>
              <w:rPr>
                <w:sz w:val="24"/>
              </w:rPr>
            </w:pPr>
            <w:r>
              <w:rPr>
                <w:sz w:val="24"/>
              </w:rPr>
              <w:t>0.1%</w:t>
            </w:r>
          </w:p>
        </w:tc>
      </w:tr>
      <w:tr w:rsidR="003E0D7D" w14:paraId="574C4F46" w14:textId="77777777">
        <w:trPr>
          <w:trHeight w:val="275"/>
        </w:trPr>
        <w:tc>
          <w:tcPr>
            <w:tcW w:w="4287" w:type="dxa"/>
          </w:tcPr>
          <w:p w14:paraId="19398C4F" w14:textId="77777777" w:rsidR="003E0D7D" w:rsidRDefault="00F23AA1">
            <w:pPr>
              <w:pStyle w:val="TableParagraph"/>
              <w:rPr>
                <w:sz w:val="24"/>
              </w:rPr>
            </w:pPr>
            <w:r>
              <w:rPr>
                <w:sz w:val="24"/>
              </w:rPr>
              <w:t>Dibutyl phthalate (DBP)</w:t>
            </w:r>
          </w:p>
        </w:tc>
        <w:tc>
          <w:tcPr>
            <w:tcW w:w="5176" w:type="dxa"/>
          </w:tcPr>
          <w:p w14:paraId="4FC86EB7" w14:textId="77777777" w:rsidR="003E0D7D" w:rsidRDefault="00F23AA1">
            <w:pPr>
              <w:pStyle w:val="TableParagraph"/>
              <w:ind w:left="83"/>
              <w:rPr>
                <w:sz w:val="24"/>
              </w:rPr>
            </w:pPr>
            <w:r>
              <w:rPr>
                <w:sz w:val="24"/>
              </w:rPr>
              <w:t>0.1%</w:t>
            </w:r>
          </w:p>
        </w:tc>
      </w:tr>
      <w:tr w:rsidR="003E0D7D" w14:paraId="6BCBBC80" w14:textId="77777777">
        <w:trPr>
          <w:trHeight w:val="414"/>
        </w:trPr>
        <w:tc>
          <w:tcPr>
            <w:tcW w:w="4287" w:type="dxa"/>
          </w:tcPr>
          <w:p w14:paraId="258A26BE" w14:textId="77777777" w:rsidR="003E0D7D" w:rsidRDefault="00F23AA1">
            <w:pPr>
              <w:pStyle w:val="TableParagraph"/>
              <w:spacing w:line="271" w:lineRule="exact"/>
              <w:rPr>
                <w:sz w:val="24"/>
              </w:rPr>
            </w:pPr>
            <w:proofErr w:type="spellStart"/>
            <w:r>
              <w:rPr>
                <w:sz w:val="24"/>
              </w:rPr>
              <w:t>Diisobutyl</w:t>
            </w:r>
            <w:proofErr w:type="spellEnd"/>
            <w:r>
              <w:rPr>
                <w:sz w:val="24"/>
              </w:rPr>
              <w:t xml:space="preserve"> phthalate (DIBP)</w:t>
            </w:r>
          </w:p>
        </w:tc>
        <w:tc>
          <w:tcPr>
            <w:tcW w:w="5176" w:type="dxa"/>
          </w:tcPr>
          <w:p w14:paraId="3FFD1998" w14:textId="77777777" w:rsidR="003E0D7D" w:rsidRDefault="00F23AA1">
            <w:pPr>
              <w:pStyle w:val="TableParagraph"/>
              <w:spacing w:line="271" w:lineRule="exact"/>
              <w:ind w:left="83"/>
              <w:rPr>
                <w:sz w:val="24"/>
              </w:rPr>
            </w:pPr>
            <w:r>
              <w:rPr>
                <w:sz w:val="24"/>
              </w:rPr>
              <w:t>0.1%</w:t>
            </w:r>
          </w:p>
        </w:tc>
      </w:tr>
      <w:tr w:rsidR="003E0D7D" w14:paraId="034C6AAD" w14:textId="77777777">
        <w:trPr>
          <w:trHeight w:val="408"/>
        </w:trPr>
        <w:tc>
          <w:tcPr>
            <w:tcW w:w="4287" w:type="dxa"/>
          </w:tcPr>
          <w:p w14:paraId="020B6401" w14:textId="77777777" w:rsidR="003E0D7D" w:rsidRDefault="003E0D7D" w:rsidP="00AE5DA0">
            <w:pPr>
              <w:pStyle w:val="TableParagraph"/>
              <w:spacing w:before="133"/>
              <w:ind w:left="0"/>
              <w:contextualSpacing/>
              <w:rPr>
                <w:sz w:val="24"/>
              </w:rPr>
            </w:pPr>
          </w:p>
        </w:tc>
        <w:tc>
          <w:tcPr>
            <w:tcW w:w="5176" w:type="dxa"/>
          </w:tcPr>
          <w:p w14:paraId="0A082440" w14:textId="77777777" w:rsidR="003E0D7D" w:rsidRDefault="003E0D7D" w:rsidP="00AE5DA0">
            <w:pPr>
              <w:pStyle w:val="TableParagraph"/>
              <w:spacing w:before="133"/>
              <w:ind w:left="0"/>
              <w:rPr>
                <w:sz w:val="24"/>
              </w:rPr>
            </w:pPr>
          </w:p>
          <w:p w14:paraId="75637355" w14:textId="77777777" w:rsidR="00AE5DA0" w:rsidRDefault="00AE5DA0" w:rsidP="00AE5DA0">
            <w:pPr>
              <w:pStyle w:val="TableParagraph"/>
              <w:spacing w:before="133"/>
              <w:ind w:left="0"/>
              <w:rPr>
                <w:sz w:val="24"/>
              </w:rPr>
            </w:pPr>
          </w:p>
        </w:tc>
      </w:tr>
    </w:tbl>
    <w:p w14:paraId="25A51B48" w14:textId="77777777" w:rsidR="003E0D7D" w:rsidRDefault="00AE5DA0" w:rsidP="00AE5DA0">
      <w:pPr>
        <w:pStyle w:val="BodyText"/>
        <w:ind w:right="396"/>
        <w:jc w:val="both"/>
      </w:pPr>
      <w:r>
        <w:t>Wavemar Electronics Ltd has taken reasonable steps to ensure that products do not contain the 6 original substances.</w:t>
      </w:r>
    </w:p>
    <w:p w14:paraId="4A1467FC" w14:textId="77777777" w:rsidR="00AE5DA0" w:rsidRDefault="00AE5DA0" w:rsidP="00AE5DA0">
      <w:pPr>
        <w:pStyle w:val="BodyText"/>
        <w:ind w:right="396"/>
        <w:jc w:val="both"/>
      </w:pPr>
      <w:r>
        <w:t>These measures include the requirement of a certification statement or declaration from all chemical raw material suppliers or distributors stating that none of these substances in excess of 0.1% (1000 ppm) or cadmium in excess of 0.01%, are added to, or known to be present in our raw materials. We are in the process of obtaining new certifications from our suppliers which include the four phthalate compounds. These records will support our position that products supplied from these suppliers conform to this</w:t>
      </w:r>
      <w:r>
        <w:rPr>
          <w:spacing w:val="-13"/>
        </w:rPr>
        <w:t xml:space="preserve"> </w:t>
      </w:r>
      <w:r>
        <w:t>directive.</w:t>
      </w:r>
    </w:p>
    <w:p w14:paraId="0BE5FC53" w14:textId="77777777" w:rsidR="003E0D7D" w:rsidRDefault="003E0D7D">
      <w:pPr>
        <w:pStyle w:val="BodyText"/>
        <w:spacing w:before="4"/>
        <w:rPr>
          <w:sz w:val="23"/>
        </w:rPr>
      </w:pPr>
    </w:p>
    <w:p w14:paraId="5836A135" w14:textId="1B0A1007" w:rsidR="00AE5DA0" w:rsidRPr="00AE5DA0" w:rsidRDefault="00AE5DA0">
      <w:pPr>
        <w:pStyle w:val="BodyText"/>
        <w:spacing w:before="4"/>
        <w:rPr>
          <w:b/>
          <w:sz w:val="23"/>
        </w:rPr>
      </w:pPr>
      <w:r w:rsidRPr="00AE5DA0">
        <w:rPr>
          <w:b/>
          <w:sz w:val="23"/>
        </w:rPr>
        <w:t>Norbar Products covered by this declaration are:-</w:t>
      </w:r>
    </w:p>
    <w:p w14:paraId="42D34CE3" w14:textId="77777777" w:rsidR="00AE5DA0" w:rsidRDefault="00AE5DA0">
      <w:pPr>
        <w:pStyle w:val="BodyText"/>
        <w:spacing w:before="4"/>
        <w:rPr>
          <w:sz w:val="23"/>
        </w:rPr>
      </w:pPr>
      <w:r>
        <w:rPr>
          <w:sz w:val="23"/>
        </w:rPr>
        <w:t xml:space="preserve">Part </w:t>
      </w:r>
      <w:proofErr w:type="gramStart"/>
      <w:r>
        <w:rPr>
          <w:sz w:val="23"/>
        </w:rPr>
        <w:t>No :</w:t>
      </w:r>
      <w:proofErr w:type="gramEnd"/>
      <w:r>
        <w:rPr>
          <w:sz w:val="23"/>
        </w:rPr>
        <w:t xml:space="preserve"> 39911</w:t>
      </w:r>
    </w:p>
    <w:p w14:paraId="3F398A1D" w14:textId="77777777" w:rsidR="00AE5DA0" w:rsidRDefault="00AE5DA0">
      <w:pPr>
        <w:pStyle w:val="BodyText"/>
        <w:spacing w:before="4"/>
        <w:rPr>
          <w:sz w:val="23"/>
        </w:rPr>
      </w:pPr>
      <w:r>
        <w:rPr>
          <w:sz w:val="23"/>
        </w:rPr>
        <w:t xml:space="preserve">Part </w:t>
      </w:r>
      <w:proofErr w:type="gramStart"/>
      <w:r>
        <w:rPr>
          <w:sz w:val="23"/>
        </w:rPr>
        <w:t>No :</w:t>
      </w:r>
      <w:proofErr w:type="gramEnd"/>
      <w:r>
        <w:rPr>
          <w:sz w:val="23"/>
        </w:rPr>
        <w:t xml:space="preserve"> 39906</w:t>
      </w:r>
    </w:p>
    <w:p w14:paraId="1D7458B9" w14:textId="77777777" w:rsidR="00AE5DA0" w:rsidRDefault="00AE5DA0">
      <w:pPr>
        <w:pStyle w:val="BodyText"/>
        <w:spacing w:before="4"/>
        <w:rPr>
          <w:sz w:val="23"/>
        </w:rPr>
      </w:pPr>
      <w:r>
        <w:rPr>
          <w:sz w:val="23"/>
        </w:rPr>
        <w:t xml:space="preserve">Part </w:t>
      </w:r>
      <w:proofErr w:type="gramStart"/>
      <w:r>
        <w:rPr>
          <w:sz w:val="23"/>
        </w:rPr>
        <w:t>No :</w:t>
      </w:r>
      <w:proofErr w:type="gramEnd"/>
      <w:r>
        <w:rPr>
          <w:sz w:val="23"/>
        </w:rPr>
        <w:t xml:space="preserve"> 39917</w:t>
      </w:r>
    </w:p>
    <w:p w14:paraId="137C710D" w14:textId="77777777" w:rsidR="00AE5DA0" w:rsidRDefault="00AE5DA0">
      <w:pPr>
        <w:pStyle w:val="BodyText"/>
        <w:spacing w:before="4"/>
        <w:rPr>
          <w:sz w:val="23"/>
        </w:rPr>
      </w:pPr>
      <w:r>
        <w:rPr>
          <w:sz w:val="23"/>
        </w:rPr>
        <w:t xml:space="preserve">Part </w:t>
      </w:r>
      <w:proofErr w:type="gramStart"/>
      <w:r>
        <w:rPr>
          <w:sz w:val="23"/>
        </w:rPr>
        <w:t>No :</w:t>
      </w:r>
      <w:proofErr w:type="gramEnd"/>
      <w:r>
        <w:rPr>
          <w:sz w:val="23"/>
        </w:rPr>
        <w:t xml:space="preserve"> 39893</w:t>
      </w:r>
    </w:p>
    <w:p w14:paraId="3E75E641" w14:textId="63014A7E" w:rsidR="003E7B0B" w:rsidRDefault="003E7B0B">
      <w:pPr>
        <w:pStyle w:val="BodyText"/>
        <w:spacing w:before="4"/>
        <w:rPr>
          <w:sz w:val="23"/>
        </w:rPr>
      </w:pPr>
      <w:r>
        <w:rPr>
          <w:sz w:val="23"/>
        </w:rPr>
        <w:t xml:space="preserve">Part </w:t>
      </w:r>
      <w:proofErr w:type="gramStart"/>
      <w:r>
        <w:rPr>
          <w:sz w:val="23"/>
        </w:rPr>
        <w:t>No :</w:t>
      </w:r>
      <w:proofErr w:type="gramEnd"/>
      <w:r>
        <w:rPr>
          <w:sz w:val="23"/>
        </w:rPr>
        <w:t xml:space="preserve"> </w:t>
      </w:r>
      <w:r w:rsidR="00A42D9E">
        <w:rPr>
          <w:sz w:val="23"/>
        </w:rPr>
        <w:t>391074</w:t>
      </w:r>
    </w:p>
    <w:p w14:paraId="15C80D3D" w14:textId="77777777" w:rsidR="00AE5DA0" w:rsidRDefault="00AE5DA0">
      <w:pPr>
        <w:pStyle w:val="BodyText"/>
        <w:spacing w:before="4"/>
        <w:rPr>
          <w:sz w:val="23"/>
        </w:rPr>
      </w:pPr>
    </w:p>
    <w:p w14:paraId="36B09C7A" w14:textId="77777777" w:rsidR="00AE5DA0" w:rsidRDefault="00AE5DA0" w:rsidP="00AE5DA0">
      <w:pPr>
        <w:pStyle w:val="BodyText"/>
        <w:spacing w:before="4"/>
        <w:rPr>
          <w:sz w:val="23"/>
        </w:rPr>
      </w:pPr>
      <w:proofErr w:type="spellStart"/>
      <w:r>
        <w:rPr>
          <w:sz w:val="23"/>
        </w:rPr>
        <w:t>M.</w:t>
      </w:r>
      <w:proofErr w:type="gramStart"/>
      <w:r>
        <w:rPr>
          <w:sz w:val="23"/>
        </w:rPr>
        <w:t>V.Calladine</w:t>
      </w:r>
      <w:proofErr w:type="spellEnd"/>
      <w:proofErr w:type="gramEnd"/>
      <w:r>
        <w:rPr>
          <w:sz w:val="23"/>
        </w:rPr>
        <w:t xml:space="preserve"> : </w:t>
      </w:r>
      <w:proofErr w:type="spellStart"/>
      <w:r>
        <w:rPr>
          <w:sz w:val="23"/>
        </w:rPr>
        <w:t>Managaing</w:t>
      </w:r>
      <w:proofErr w:type="spellEnd"/>
      <w:r>
        <w:rPr>
          <w:sz w:val="23"/>
        </w:rPr>
        <w:t xml:space="preserve"> Director</w:t>
      </w:r>
    </w:p>
    <w:p w14:paraId="306FBA74" w14:textId="2361FE1E" w:rsidR="00AE5DA0" w:rsidRDefault="00AE5DA0" w:rsidP="00AE5DA0">
      <w:pPr>
        <w:pStyle w:val="BodyText"/>
        <w:spacing w:before="4"/>
        <w:rPr>
          <w:sz w:val="23"/>
        </w:rPr>
      </w:pPr>
      <w:r>
        <w:rPr>
          <w:sz w:val="23"/>
        </w:rPr>
        <w:t>For and on behalf of Wavemar Electronics Ltd</w:t>
      </w:r>
      <w:r w:rsidR="00A42D9E">
        <w:rPr>
          <w:sz w:val="23"/>
        </w:rPr>
        <w:tab/>
      </w:r>
      <w:r w:rsidR="00A42D9E">
        <w:rPr>
          <w:sz w:val="23"/>
        </w:rPr>
        <w:tab/>
        <w:t>10/7/2023</w:t>
      </w:r>
    </w:p>
    <w:p w14:paraId="65556925" w14:textId="77777777" w:rsidR="00513FD6" w:rsidRDefault="00513FD6">
      <w:pPr>
        <w:pStyle w:val="BodyText"/>
        <w:spacing w:before="4"/>
        <w:rPr>
          <w:sz w:val="23"/>
        </w:rPr>
      </w:pPr>
    </w:p>
    <w:p w14:paraId="3C11E6D2" w14:textId="74601784" w:rsidR="00AE5DA0" w:rsidRDefault="00AE5DA0">
      <w:pPr>
        <w:pStyle w:val="BodyText"/>
        <w:spacing w:before="4"/>
        <w:rPr>
          <w:sz w:val="23"/>
        </w:rPr>
      </w:pPr>
    </w:p>
    <w:sectPr w:rsidR="00AE5DA0">
      <w:type w:val="continuous"/>
      <w:pgSz w:w="12240" w:h="15840"/>
      <w:pgMar w:top="440" w:right="10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D7D"/>
    <w:rsid w:val="00053336"/>
    <w:rsid w:val="001B36BE"/>
    <w:rsid w:val="002D2C86"/>
    <w:rsid w:val="003E0D7D"/>
    <w:rsid w:val="003E7B0B"/>
    <w:rsid w:val="00513FD6"/>
    <w:rsid w:val="00515035"/>
    <w:rsid w:val="00A42D9E"/>
    <w:rsid w:val="00AE5DA0"/>
    <w:rsid w:val="00BD1B39"/>
    <w:rsid w:val="00E77A40"/>
    <w:rsid w:val="00F23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0DB21"/>
  <w15:docId w15:val="{47F116CB-2292-493C-B75E-D49AF422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76" w:right="12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50"/>
    </w:pPr>
  </w:style>
  <w:style w:type="paragraph" w:styleId="BalloonText">
    <w:name w:val="Balloon Text"/>
    <w:basedOn w:val="Normal"/>
    <w:link w:val="BalloonTextChar"/>
    <w:uiPriority w:val="99"/>
    <w:semiHidden/>
    <w:unhideWhenUsed/>
    <w:rsid w:val="00513FD6"/>
    <w:rPr>
      <w:sz w:val="18"/>
      <w:szCs w:val="18"/>
    </w:rPr>
  </w:style>
  <w:style w:type="character" w:customStyle="1" w:styleId="BalloonTextChar">
    <w:name w:val="Balloon Text Char"/>
    <w:basedOn w:val="DefaultParagraphFont"/>
    <w:link w:val="BalloonText"/>
    <w:uiPriority w:val="99"/>
    <w:semiHidden/>
    <w:rsid w:val="00513FD6"/>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3b382a-d0dd-4949-ac43-af3754096caf">
      <Terms xmlns="http://schemas.microsoft.com/office/infopath/2007/PartnerControls"/>
    </lcf76f155ced4ddcb4097134ff3c332f>
    <TaxCatchAll xmlns="9e53ef7a-61ae-4ae2-bf5a-710088088a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E4101621C2074783ACA7E3E4A0C577" ma:contentTypeVersion="13" ma:contentTypeDescription="Create a new document." ma:contentTypeScope="" ma:versionID="03ab7809c676e6aafaf45f47e286ddf1">
  <xsd:schema xmlns:xsd="http://www.w3.org/2001/XMLSchema" xmlns:xs="http://www.w3.org/2001/XMLSchema" xmlns:p="http://schemas.microsoft.com/office/2006/metadata/properties" xmlns:ns2="333b382a-d0dd-4949-ac43-af3754096caf" xmlns:ns3="9e53ef7a-61ae-4ae2-bf5a-710088088afb" targetNamespace="http://schemas.microsoft.com/office/2006/metadata/properties" ma:root="true" ma:fieldsID="f3cd6433f5e6c0a634bb87e536f52190" ns2:_="" ns3:_="">
    <xsd:import namespace="333b382a-d0dd-4949-ac43-af3754096caf"/>
    <xsd:import namespace="9e53ef7a-61ae-4ae2-bf5a-710088088af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b382a-d0dd-4949-ac43-af3754096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8a1b60d-e0ba-4fff-994d-80d3ee7440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3ef7a-61ae-4ae2-bf5a-710088088a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461556-7b0e-45a4-9042-0436a8d92a46}" ma:internalName="TaxCatchAll" ma:showField="CatchAllData" ma:web="9e53ef7a-61ae-4ae2-bf5a-710088088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D59CA-4692-4D53-AD86-4F5DCA4D5E8A}">
  <ds:schemaRefs>
    <ds:schemaRef ds:uri="http://schemas.microsoft.com/sharepoint/v3/contenttype/forms"/>
  </ds:schemaRefs>
</ds:datastoreItem>
</file>

<file path=customXml/itemProps2.xml><?xml version="1.0" encoding="utf-8"?>
<ds:datastoreItem xmlns:ds="http://schemas.openxmlformats.org/officeDocument/2006/customXml" ds:itemID="{9114352F-8592-4E7D-A26C-39DB50EA89C9}">
  <ds:schemaRefs>
    <ds:schemaRef ds:uri="http://schemas.microsoft.com/office/2006/metadata/properties"/>
    <ds:schemaRef ds:uri="http://schemas.microsoft.com/office/infopath/2007/PartnerControls"/>
    <ds:schemaRef ds:uri="333b382a-d0dd-4949-ac43-af3754096caf"/>
    <ds:schemaRef ds:uri="9e53ef7a-61ae-4ae2-bf5a-710088088afb"/>
  </ds:schemaRefs>
</ds:datastoreItem>
</file>

<file path=customXml/itemProps3.xml><?xml version="1.0" encoding="utf-8"?>
<ds:datastoreItem xmlns:ds="http://schemas.openxmlformats.org/officeDocument/2006/customXml" ds:itemID="{6F390B0A-DD64-4CEE-B3B9-EB5D4E7C2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b382a-d0dd-4949-ac43-af3754096caf"/>
    <ds:schemaRef ds:uri="9e53ef7a-61ae-4ae2-bf5a-710088088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LIMON</dc:creator>
  <cp:lastModifiedBy>Mike Calladine</cp:lastModifiedBy>
  <cp:revision>2</cp:revision>
  <dcterms:created xsi:type="dcterms:W3CDTF">2024-04-16T07:26:00Z</dcterms:created>
  <dcterms:modified xsi:type="dcterms:W3CDTF">2024-04-16T07:26:00Z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Creator">
    <vt:lpwstr>Microsoft® Word 2010</vt:lpwstr>
  </property>
  <property fmtid="{D5CDD505-2E9C-101B-9397-08002B2CF9AE}" pid="4" name="LastSaved">
    <vt:filetime>2019-05-22T00:00:00Z</vt:filetime>
  </property>
  <property fmtid="{D5CDD505-2E9C-101B-9397-08002B2CF9AE}" pid="5" name="ContentTypeId">
    <vt:lpwstr>0x0101004AE4101621C2074783ACA7E3E4A0C577</vt:lpwstr>
  </property>
</Properties>
</file>